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28"/>
          <w:szCs w:val="28"/>
        </w:rPr>
      </w:pPr>
      <w:bookmarkStart w:id="0" w:name="_Toc354767578"/>
      <w:r>
        <w:rPr>
          <w:rFonts w:hint="eastAsia"/>
          <w:b/>
          <w:bCs/>
          <w:sz w:val="28"/>
          <w:szCs w:val="28"/>
          <w:lang w:eastAsia="zh-CN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2：</w:t>
      </w:r>
      <w:bookmarkEnd w:id="0"/>
      <w:r>
        <w:rPr>
          <w:rFonts w:hint="eastAsia"/>
          <w:b/>
          <w:bCs/>
          <w:sz w:val="28"/>
          <w:szCs w:val="28"/>
          <w:lang w:eastAsia="zh-CN"/>
        </w:rPr>
        <w:t>评审细则及报账须知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2"/>
          <w:szCs w:val="18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微软雅黑" w:hAnsi="微软雅黑" w:eastAsia="仿宋_GB2312" w:cs="宋体"/>
          <w:b/>
          <w:bCs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2"/>
          <w:szCs w:val="18"/>
        </w:rPr>
        <w:t xml:space="preserve"> </w:t>
      </w:r>
      <w:r>
        <w:rPr>
          <w:rFonts w:hint="eastAsia" w:ascii="微软雅黑" w:hAnsi="微软雅黑" w:eastAsia="仿宋_GB2312" w:cs="宋体"/>
          <w:b/>
          <w:bCs/>
          <w:kern w:val="0"/>
          <w:sz w:val="30"/>
          <w:szCs w:val="30"/>
        </w:rPr>
        <w:t>一、评审</w:t>
      </w:r>
      <w:r>
        <w:rPr>
          <w:rFonts w:hint="eastAsia" w:ascii="微软雅黑" w:hAnsi="微软雅黑" w:eastAsia="仿宋_GB2312" w:cs="宋体"/>
          <w:b/>
          <w:bCs/>
          <w:kern w:val="0"/>
          <w:sz w:val="30"/>
          <w:szCs w:val="30"/>
          <w:lang w:eastAsia="zh-CN"/>
        </w:rPr>
        <w:t>细则</w:t>
      </w:r>
      <w:r>
        <w:rPr>
          <w:rFonts w:hint="eastAsia" w:ascii="微软雅黑" w:hAnsi="微软雅黑" w:eastAsia="仿宋_GB2312" w:cs="宋体"/>
          <w:b/>
          <w:bCs/>
          <w:kern w:val="0"/>
          <w:sz w:val="30"/>
          <w:szCs w:val="30"/>
        </w:rPr>
        <w:t>及相关说明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2"/>
          <w:szCs w:val="18"/>
        </w:rPr>
        <w:t xml:space="preserve"> 1、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时间安排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    各团队报告时间总共为8分钟，其中陈述时间为5分钟，答辩时间为3分钟。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  2、评审细则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分值分配：</w:t>
      </w:r>
    </w:p>
    <w:p>
      <w:pPr>
        <w:widowControl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材料评审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100分，现场答辩100分，两部分权重各位50%。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具体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说明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如下：</w:t>
      </w:r>
    </w:p>
    <w:p>
      <w:pPr>
        <w:pStyle w:val="7"/>
        <w:numPr>
          <w:ilvl w:val="0"/>
          <w:numId w:val="2"/>
        </w:numPr>
        <w:spacing w:line="360" w:lineRule="auto"/>
        <w:ind w:firstLineChars="0"/>
        <w:rPr>
          <w:rFonts w:hint="eastAsia" w:ascii="仿宋_GB2312" w:hAnsi="微软雅黑" w:eastAsia="仿宋_GB2312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24"/>
          <w:szCs w:val="24"/>
        </w:rPr>
        <w:t>各项均由评委老师单独打分</w:t>
      </w: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24"/>
          <w:szCs w:val="24"/>
          <w:lang w:eastAsia="zh-CN"/>
        </w:rPr>
        <w:t>，材料包含实践手册和实践报告书两个部分。</w:t>
      </w:r>
    </w:p>
    <w:p>
      <w:pPr>
        <w:pStyle w:val="7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实践手册：主要展现社会实践经历和优秀事迹。社会实践活动注重团队实践过程，注重展现实践环节的真实感受，注重体现团队成员在基层的收获；</w:t>
      </w:r>
    </w:p>
    <w:p>
      <w:pPr>
        <w:pStyle w:val="7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实践报告书：介绍实践成果，并对原因和本质进行分析</w:t>
      </w: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24"/>
          <w:szCs w:val="24"/>
        </w:rPr>
        <w:t>；</w:t>
      </w:r>
    </w:p>
    <w:p>
      <w:pPr>
        <w:pStyle w:val="7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答辩展示：幻灯片美观，语言表达清晰流利，回答问题简明扼要且在规定的时间内完成报告内容，</w:t>
      </w:r>
      <w:r>
        <w:rPr>
          <w:rFonts w:hint="eastAsia" w:ascii="仿宋_GB2312" w:hAnsi="微软雅黑" w:eastAsia="仿宋_GB2312" w:cs="宋体"/>
          <w:b/>
          <w:bCs/>
          <w:color w:val="000000"/>
          <w:kern w:val="0"/>
          <w:sz w:val="24"/>
          <w:szCs w:val="24"/>
        </w:rPr>
        <w:t>展现团队活动的媒体报道情况包括社会影响力、社会评价等，此项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根据媒体类型，影响力，报道篇幅等酌情给分。</w:t>
      </w:r>
    </w:p>
    <w:p>
      <w:pPr>
        <w:pStyle w:val="7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附加分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，在总分总按照以下情况执行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：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459"/>
        <w:gridCol w:w="1268"/>
        <w:gridCol w:w="4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项目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  <w:t>扣分情况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分值</w:t>
            </w:r>
          </w:p>
        </w:tc>
        <w:tc>
          <w:tcPr>
            <w:tcW w:w="4105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690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材料</w:t>
            </w: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  <w:t>上报情况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拖延1天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-0.5分</w:t>
            </w:r>
          </w:p>
        </w:tc>
        <w:tc>
          <w:tcPr>
            <w:tcW w:w="4105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4"/>
                <w:szCs w:val="24"/>
              </w:rPr>
              <w:t>拖欠上交材料，以及未在规定时间内完成幻灯片的拷贝工作的团队，根据上表扣分；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90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拖延2-3天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-1分</w:t>
            </w:r>
          </w:p>
        </w:tc>
        <w:tc>
          <w:tcPr>
            <w:tcW w:w="4105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690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拖延4-5天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-1.5分</w:t>
            </w:r>
          </w:p>
        </w:tc>
        <w:tc>
          <w:tcPr>
            <w:tcW w:w="4105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690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5天以上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  <w:t>-2分</w:t>
            </w:r>
          </w:p>
        </w:tc>
        <w:tc>
          <w:tcPr>
            <w:tcW w:w="4105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69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  <w:t>时间分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eastAsia="zh-CN"/>
              </w:rPr>
              <w:t>答辩超时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val="en-US" w:eastAsia="zh-CN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  <w:lang w:val="en-US" w:eastAsia="zh-CN"/>
              </w:rPr>
              <w:t>扣0.5-2分</w:t>
            </w:r>
          </w:p>
        </w:tc>
        <w:tc>
          <w:tcPr>
            <w:tcW w:w="4105" w:type="dxa"/>
            <w:tcBorders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_GB2312" w:hAnsi="微软雅黑" w:eastAsia="仿宋_GB2312" w:cs="宋体"/>
                <w:b/>
                <w:bCs/>
                <w:kern w:val="0"/>
                <w:sz w:val="22"/>
                <w:szCs w:val="18"/>
              </w:rPr>
            </w:pPr>
            <w:r>
              <w:rPr>
                <w:rFonts w:hint="eastAsia" w:ascii="仿宋_GB2312" w:hAnsi="微软雅黑" w:eastAsia="仿宋_GB2312" w:cs="宋体"/>
                <w:b/>
                <w:bCs/>
                <w:kern w:val="0"/>
                <w:sz w:val="24"/>
                <w:szCs w:val="24"/>
              </w:rPr>
              <w:t>每超时一分钟在总分中减0.5分，减完2分为止</w:t>
            </w:r>
          </w:p>
        </w:tc>
      </w:tr>
    </w:tbl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2"/>
          <w:szCs w:val="18"/>
        </w:rPr>
      </w:pPr>
    </w:p>
    <w:p>
      <w:pPr>
        <w:pStyle w:val="7"/>
        <w:widowControl/>
        <w:numPr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B.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成绩计算方式：</w:t>
      </w:r>
    </w:p>
    <w:p>
      <w:pPr>
        <w:pStyle w:val="7"/>
        <w:widowControl/>
        <w:numPr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各会场项目成绩由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项成绩加权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后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得出，取其中一个会场的成绩平均分为基准，其他会场成绩以此基准加权换算后，将所有团队成绩统一排序后得出一、二、三等奖（例如：会场一团队平均分90，会场二团队平均分80。以会场一平均分90为基准，各团队成绩排序时，第一会场所有团队成绩不变，第二会场所有团队成绩=原成绩*90/80）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3.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注意事项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1、参加报告的团队请请提前半个小时到达会场，应于组织单位通知时间内完成抽签同时将幻灯片拷贝到指定地点，迟到者视为自动放弃答辩机会；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2、 附加分在计算最后总分时直接加入。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3、报告会注重实践过程的展示，不搞形式主义，不需要统一服装。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2"/>
          <w:szCs w:val="18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32"/>
          <w:szCs w:val="22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32"/>
          <w:szCs w:val="22"/>
        </w:rPr>
        <w:t>二、报账</w:t>
      </w:r>
      <w:r>
        <w:rPr>
          <w:rFonts w:hint="eastAsia" w:ascii="仿宋_GB2312" w:hAnsi="微软雅黑" w:eastAsia="仿宋_GB2312" w:cs="宋体"/>
          <w:b/>
          <w:bCs/>
          <w:kern w:val="0"/>
          <w:sz w:val="32"/>
          <w:szCs w:val="22"/>
          <w:lang w:eastAsia="zh-CN"/>
        </w:rPr>
        <w:t>须知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1、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校级重点团队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：每个校级重点团队平均资助5000元，根据实践报告会成绩，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所有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校级重点团队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进行单独排序，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排名的前三分之一团队按立项金额的120%资助，排名中间三分之一团队按立项金额100%资助，排名最后三分之一团队按资助金额80%资助，报账时间在报告会结束后另行通知；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2、院级重点团队：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学校为每个学院补助2000元对院级重点团队进行资助，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由学院提出资助分配方案，学校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以补助形式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拨付团队成员账户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，无需报账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；</w:t>
      </w:r>
    </w:p>
    <w:p>
      <w:pPr>
        <w:widowControl/>
        <w:adjustRightInd w:val="0"/>
        <w:snapToGrid w:val="0"/>
        <w:spacing w:line="360" w:lineRule="auto"/>
        <w:jc w:val="left"/>
      </w:pP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、校级重点团队报账注意事项：报账需持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武汉至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实践地点的往返车票及匹配的住宿发票，如无住宿发票或发票与活动时间不符，需另行开具证明；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  <w:lang w:eastAsia="zh-CN"/>
        </w:rPr>
        <w:t>除差旅费外，还可以报销部分文印费（需明细）、材料费（需明细）、图书费（需明细）、设计费、加工费、测试费及少量文具等费用，</w:t>
      </w:r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需持正规发票，</w:t>
      </w:r>
      <w:bookmarkStart w:id="1" w:name="_GoBack"/>
      <w:bookmarkEnd w:id="1"/>
      <w:r>
        <w:rPr>
          <w:rFonts w:hint="eastAsia" w:ascii="仿宋_GB2312" w:hAnsi="微软雅黑" w:eastAsia="仿宋_GB2312" w:cs="宋体"/>
          <w:b/>
          <w:bCs/>
          <w:kern w:val="0"/>
          <w:sz w:val="24"/>
          <w:szCs w:val="24"/>
        </w:rPr>
        <w:t>其他报账规定详见地大财务处官网。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46AA7"/>
    <w:multiLevelType w:val="multilevel"/>
    <w:tmpl w:val="45546AA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华文中宋" w:hAnsi="华文中宋" w:eastAsia="华文中宋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D6B692"/>
    <w:multiLevelType w:val="singleLevel"/>
    <w:tmpl w:val="57D6B692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06F9"/>
    <w:rsid w:val="00027110"/>
    <w:rsid w:val="003469D4"/>
    <w:rsid w:val="004A06F9"/>
    <w:rsid w:val="005A7E91"/>
    <w:rsid w:val="005E1F02"/>
    <w:rsid w:val="00D406D9"/>
    <w:rsid w:val="533B3AD9"/>
    <w:rsid w:val="7CB5684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页眉 Char"/>
    <w:basedOn w:val="3"/>
    <w:link w:val="2"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1096</Characters>
  <Lines>9</Lines>
  <Paragraphs>2</Paragraphs>
  <TotalTime>0</TotalTime>
  <ScaleCrop>false</ScaleCrop>
  <LinksUpToDate>false</LinksUpToDate>
  <CharactersWithSpaces>1286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2016-09-12T12:04:00Z</dcterms:created>
  <dc:creator>Administrator</dc:creator>
  <cp:lastModifiedBy>lenovo</cp:lastModifiedBy>
  <dcterms:modified xsi:type="dcterms:W3CDTF">2016-09-12T14:09:49Z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